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CB" w:rsidRPr="00A85E62" w:rsidRDefault="000520CB" w:rsidP="000520CB">
      <w:pPr>
        <w:spacing w:line="560" w:lineRule="exact"/>
        <w:jc w:val="center"/>
        <w:rPr>
          <w:rFonts w:ascii="方正小标宋简体" w:eastAsia="方正小标宋简体" w:hAnsi="宋体" w:cs="宋体"/>
          <w:b/>
          <w:spacing w:val="30"/>
          <w:sz w:val="40"/>
          <w:szCs w:val="36"/>
        </w:rPr>
      </w:pPr>
      <w:r w:rsidRPr="00A85E62">
        <w:rPr>
          <w:rFonts w:ascii="方正小标宋简体" w:eastAsia="方正小标宋简体"/>
          <w:b/>
          <w:spacing w:val="30"/>
          <w:sz w:val="40"/>
          <w:szCs w:val="36"/>
        </w:rPr>
        <w:t>镇江市</w:t>
      </w:r>
      <w:r w:rsidRPr="00A85E62">
        <w:rPr>
          <w:rFonts w:ascii="方正小标宋简体" w:eastAsia="方正小标宋简体" w:hint="eastAsia"/>
          <w:b/>
          <w:spacing w:val="30"/>
          <w:sz w:val="40"/>
          <w:szCs w:val="36"/>
        </w:rPr>
        <w:t>绿色建筑预评价自评估核验表</w:t>
      </w:r>
    </w:p>
    <w:p w:rsidR="000520CB" w:rsidRDefault="000520CB" w:rsidP="000520CB">
      <w:pPr>
        <w:widowControl/>
        <w:adjustRightInd w:val="0"/>
        <w:snapToGrid w:val="0"/>
        <w:jc w:val="center"/>
        <w:rPr>
          <w:rFonts w:ascii="宋体" w:hAnsi="宋体" w:cs="宋体"/>
          <w:color w:val="444444"/>
          <w:kern w:val="0"/>
          <w:sz w:val="24"/>
        </w:rPr>
      </w:pPr>
      <w:r w:rsidRPr="00D36743">
        <w:rPr>
          <w:rFonts w:ascii="宋体" w:hAnsi="宋体" w:cs="宋体" w:hint="eastAsia"/>
          <w:color w:val="444444"/>
          <w:kern w:val="0"/>
          <w:sz w:val="24"/>
        </w:rPr>
        <w:t>        </w:t>
      </w:r>
      <w:r>
        <w:rPr>
          <w:rFonts w:ascii="宋体" w:hAnsi="宋体" w:cs="宋体" w:hint="eastAsia"/>
          <w:color w:val="444444"/>
          <w:kern w:val="0"/>
          <w:sz w:val="24"/>
        </w:rPr>
        <w:t>                       </w:t>
      </w:r>
    </w:p>
    <w:p w:rsidR="000520CB" w:rsidRPr="00A85E62" w:rsidRDefault="000520CB" w:rsidP="000520CB">
      <w:pPr>
        <w:widowControl/>
        <w:adjustRightInd w:val="0"/>
        <w:snapToGrid w:val="0"/>
        <w:ind w:leftChars="-540" w:left="3" w:hangingChars="515" w:hanging="1137"/>
        <w:rPr>
          <w:rFonts w:ascii="宋体" w:hAnsi="宋体" w:cs="宋体"/>
          <w:b/>
          <w:color w:val="444444"/>
          <w:kern w:val="0"/>
          <w:sz w:val="20"/>
          <w:szCs w:val="21"/>
        </w:rPr>
      </w:pPr>
      <w:r w:rsidRPr="00A85E62">
        <w:rPr>
          <w:rFonts w:ascii="宋体" w:hAnsi="宋体" w:cs="宋体" w:hint="eastAsia"/>
          <w:b/>
          <w:color w:val="444444"/>
          <w:kern w:val="0"/>
          <w:sz w:val="22"/>
        </w:rPr>
        <w:t>执行标准GB/T50378-2019   </w:t>
      </w:r>
      <w:r w:rsidRPr="00A85E62">
        <w:rPr>
          <w:rFonts w:ascii="宋体" w:hAnsi="宋体" w:cs="宋体"/>
          <w:b/>
          <w:color w:val="444444"/>
          <w:kern w:val="0"/>
          <w:sz w:val="22"/>
        </w:rPr>
        <w:t xml:space="preserve">                  </w:t>
      </w:r>
      <w:r w:rsidRPr="00A85E62">
        <w:rPr>
          <w:rFonts w:ascii="宋体" w:hAnsi="宋体" w:cs="宋体" w:hint="eastAsia"/>
          <w:b/>
          <w:color w:val="444444"/>
          <w:kern w:val="0"/>
          <w:sz w:val="22"/>
        </w:rPr>
        <w:t>     </w:t>
      </w:r>
      <w:r w:rsidRPr="00A85E62">
        <w:rPr>
          <w:rFonts w:ascii="宋体" w:hAnsi="宋体" w:cs="宋体"/>
          <w:b/>
          <w:color w:val="444444"/>
          <w:kern w:val="0"/>
          <w:sz w:val="22"/>
        </w:rPr>
        <w:t xml:space="preserve">         </w:t>
      </w:r>
      <w:r w:rsidRPr="00A85E62">
        <w:rPr>
          <w:rFonts w:ascii="宋体" w:hAnsi="宋体" w:cs="宋体" w:hint="eastAsia"/>
          <w:b/>
          <w:color w:val="444444"/>
          <w:kern w:val="0"/>
          <w:sz w:val="22"/>
        </w:rPr>
        <w:t>  </w:t>
      </w:r>
      <w:r w:rsidRPr="00A85E62">
        <w:rPr>
          <w:rFonts w:ascii="宋体" w:hAnsi="宋体" w:cs="宋体"/>
          <w:b/>
          <w:color w:val="444444"/>
          <w:kern w:val="0"/>
          <w:sz w:val="22"/>
        </w:rPr>
        <w:t xml:space="preserve">                                                        </w:t>
      </w:r>
      <w:r w:rsidRPr="00A85E62">
        <w:rPr>
          <w:rFonts w:ascii="宋体" w:hAnsi="宋体" w:cs="宋体" w:hint="eastAsia"/>
          <w:b/>
          <w:color w:val="444444"/>
          <w:kern w:val="0"/>
          <w:sz w:val="22"/>
        </w:rPr>
        <w:t>编号：</w:t>
      </w:r>
    </w:p>
    <w:tbl>
      <w:tblPr>
        <w:tblW w:w="161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284"/>
        <w:gridCol w:w="6379"/>
        <w:gridCol w:w="1417"/>
        <w:gridCol w:w="1134"/>
        <w:gridCol w:w="5245"/>
      </w:tblGrid>
      <w:tr w:rsidR="000520CB" w:rsidRPr="00670E57" w:rsidTr="007B135C">
        <w:trPr>
          <w:cantSplit/>
          <w:trHeight w:val="567"/>
        </w:trPr>
        <w:tc>
          <w:tcPr>
            <w:tcW w:w="701" w:type="dxa"/>
            <w:vMerge w:val="restart"/>
            <w:vAlign w:val="center"/>
          </w:tcPr>
          <w:p w:rsidR="000520CB" w:rsidRPr="00670E57" w:rsidRDefault="000520CB" w:rsidP="007B135C">
            <w:pPr>
              <w:jc w:val="center"/>
            </w:pPr>
            <w:r w:rsidRPr="00670E57">
              <w:rPr>
                <w:rFonts w:hint="eastAsia"/>
              </w:rPr>
              <w:t>工</w:t>
            </w:r>
          </w:p>
          <w:p w:rsidR="000520CB" w:rsidRPr="00670E57" w:rsidRDefault="000520CB" w:rsidP="007B135C">
            <w:pPr>
              <w:jc w:val="center"/>
            </w:pPr>
            <w:r w:rsidRPr="00670E57">
              <w:rPr>
                <w:rFonts w:hint="eastAsia"/>
              </w:rPr>
              <w:t>程</w:t>
            </w:r>
          </w:p>
          <w:p w:rsidR="000520CB" w:rsidRPr="00670E57" w:rsidRDefault="000520CB" w:rsidP="007B135C">
            <w:pPr>
              <w:jc w:val="center"/>
            </w:pPr>
            <w:r w:rsidRPr="00670E57">
              <w:rPr>
                <w:rFonts w:hint="eastAsia"/>
              </w:rPr>
              <w:t>概</w:t>
            </w:r>
          </w:p>
          <w:p w:rsidR="000520CB" w:rsidRPr="00670E57" w:rsidRDefault="000520CB" w:rsidP="007B135C">
            <w:pPr>
              <w:jc w:val="center"/>
            </w:pPr>
            <w:r w:rsidRPr="00670E57">
              <w:rPr>
                <w:rFonts w:hint="eastAsia"/>
              </w:rPr>
              <w:t>况</w:t>
            </w:r>
          </w:p>
        </w:tc>
        <w:tc>
          <w:tcPr>
            <w:tcW w:w="1284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670E57">
              <w:rPr>
                <w:rFonts w:ascii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6379" w:type="dxa"/>
            <w:vAlign w:val="center"/>
          </w:tcPr>
          <w:p w:rsidR="000520CB" w:rsidRPr="00670E57" w:rsidRDefault="000520CB" w:rsidP="007B135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670E57">
              <w:rPr>
                <w:rFonts w:ascii="宋体" w:hAnsi="宋体" w:cs="宋体" w:hint="eastAsia"/>
                <w:color w:val="000000"/>
                <w:kern w:val="0"/>
              </w:rPr>
              <w:t>建设单位</w:t>
            </w:r>
          </w:p>
        </w:tc>
        <w:tc>
          <w:tcPr>
            <w:tcW w:w="6379" w:type="dxa"/>
            <w:gridSpan w:val="2"/>
            <w:vAlign w:val="center"/>
          </w:tcPr>
          <w:p w:rsidR="000520CB" w:rsidRPr="00670E57" w:rsidRDefault="000520CB" w:rsidP="007B135C">
            <w:pPr>
              <w:jc w:val="center"/>
            </w:pPr>
          </w:p>
        </w:tc>
      </w:tr>
      <w:tr w:rsidR="000520CB" w:rsidRPr="00670E57" w:rsidTr="007B135C">
        <w:trPr>
          <w:cantSplit/>
          <w:trHeight w:val="567"/>
        </w:trPr>
        <w:tc>
          <w:tcPr>
            <w:tcW w:w="701" w:type="dxa"/>
            <w:vMerge/>
            <w:vAlign w:val="center"/>
          </w:tcPr>
          <w:p w:rsidR="000520CB" w:rsidRPr="00670E57" w:rsidRDefault="000520CB" w:rsidP="007B135C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670E57">
              <w:rPr>
                <w:rFonts w:ascii="宋体" w:hAnsi="宋体" w:cs="宋体" w:hint="eastAsia"/>
                <w:color w:val="000000"/>
                <w:kern w:val="0"/>
              </w:rPr>
              <w:t>设计单位</w:t>
            </w:r>
          </w:p>
        </w:tc>
        <w:tc>
          <w:tcPr>
            <w:tcW w:w="6379" w:type="dxa"/>
            <w:vAlign w:val="center"/>
          </w:tcPr>
          <w:p w:rsidR="000520CB" w:rsidRPr="00670E57" w:rsidRDefault="000520CB" w:rsidP="007B135C">
            <w:pPr>
              <w:jc w:val="center"/>
            </w:pP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咨询</w:t>
            </w:r>
            <w:r w:rsidRPr="00670E57">
              <w:rPr>
                <w:rFonts w:ascii="宋体" w:hAnsi="宋体" w:cs="宋体" w:hint="eastAsia"/>
                <w:color w:val="000000"/>
                <w:kern w:val="0"/>
              </w:rPr>
              <w:t>单位</w:t>
            </w:r>
          </w:p>
        </w:tc>
        <w:tc>
          <w:tcPr>
            <w:tcW w:w="6379" w:type="dxa"/>
            <w:gridSpan w:val="2"/>
            <w:vAlign w:val="center"/>
          </w:tcPr>
          <w:p w:rsidR="000520CB" w:rsidRPr="00670E57" w:rsidRDefault="000520CB" w:rsidP="007B135C">
            <w:pPr>
              <w:jc w:val="center"/>
            </w:pPr>
          </w:p>
        </w:tc>
      </w:tr>
      <w:tr w:rsidR="000520CB" w:rsidRPr="00670E57" w:rsidTr="007B135C">
        <w:trPr>
          <w:cantSplit/>
          <w:trHeight w:val="567"/>
        </w:trPr>
        <w:tc>
          <w:tcPr>
            <w:tcW w:w="701" w:type="dxa"/>
            <w:vMerge/>
            <w:vAlign w:val="center"/>
          </w:tcPr>
          <w:p w:rsidR="000520CB" w:rsidRPr="00670E57" w:rsidRDefault="000520CB" w:rsidP="007B135C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建筑类型</w:t>
            </w:r>
          </w:p>
        </w:tc>
        <w:tc>
          <w:tcPr>
            <w:tcW w:w="6379" w:type="dxa"/>
            <w:vAlign w:val="center"/>
          </w:tcPr>
          <w:p w:rsidR="000520CB" w:rsidRPr="00670E57" w:rsidRDefault="000520CB" w:rsidP="007B135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 xml:space="preserve">□居住建筑 </w:t>
            </w:r>
            <w:r>
              <w:rPr>
                <w:rFonts w:ascii="仿宋" w:eastAsia="仿宋" w:hAnsi="仿宋" w:cs="仿宋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□公共建筑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670E57">
              <w:rPr>
                <w:rFonts w:ascii="宋体" w:hAnsi="宋体" w:cs="宋体" w:hint="eastAsia"/>
                <w:color w:val="000000"/>
                <w:kern w:val="0"/>
              </w:rPr>
              <w:t>建筑面积</w:t>
            </w:r>
          </w:p>
        </w:tc>
        <w:tc>
          <w:tcPr>
            <w:tcW w:w="6379" w:type="dxa"/>
            <w:gridSpan w:val="2"/>
            <w:vAlign w:val="center"/>
          </w:tcPr>
          <w:p w:rsidR="000520CB" w:rsidRPr="00670E57" w:rsidRDefault="000520CB" w:rsidP="007B135C">
            <w:pPr>
              <w:jc w:val="center"/>
            </w:pPr>
          </w:p>
        </w:tc>
      </w:tr>
      <w:tr w:rsidR="000520CB" w:rsidRPr="00670E57" w:rsidTr="007B135C">
        <w:trPr>
          <w:cantSplit/>
          <w:trHeight w:val="567"/>
        </w:trPr>
        <w:tc>
          <w:tcPr>
            <w:tcW w:w="701" w:type="dxa"/>
            <w:vMerge/>
            <w:vAlign w:val="center"/>
          </w:tcPr>
          <w:p w:rsidR="000520CB" w:rsidRPr="00670E57" w:rsidRDefault="000520CB" w:rsidP="007B135C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670E57">
              <w:rPr>
                <w:rFonts w:ascii="宋体" w:hAnsi="宋体" w:cs="宋体" w:hint="eastAsia"/>
                <w:color w:val="000000"/>
                <w:kern w:val="0"/>
              </w:rPr>
              <w:t>结构类型</w:t>
            </w:r>
          </w:p>
        </w:tc>
        <w:tc>
          <w:tcPr>
            <w:tcW w:w="6379" w:type="dxa"/>
            <w:vAlign w:val="center"/>
          </w:tcPr>
          <w:p w:rsidR="000520CB" w:rsidRPr="00322C4B" w:rsidRDefault="000520CB" w:rsidP="007B135C">
            <w:pPr>
              <w:spacing w:line="360" w:lineRule="auto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□框架□剪力墙□框架-剪力墙□钢结构□其他：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670E57">
              <w:rPr>
                <w:rFonts w:ascii="宋体" w:hAnsi="宋体" w:cs="宋体" w:hint="eastAsia"/>
                <w:color w:val="000000"/>
                <w:kern w:val="0"/>
              </w:rPr>
              <w:t>层   数</w:t>
            </w:r>
          </w:p>
        </w:tc>
        <w:tc>
          <w:tcPr>
            <w:tcW w:w="6379" w:type="dxa"/>
            <w:gridSpan w:val="2"/>
            <w:vAlign w:val="center"/>
          </w:tcPr>
          <w:p w:rsidR="000520CB" w:rsidRPr="00670E57" w:rsidRDefault="000520CB" w:rsidP="007B135C">
            <w:pPr>
              <w:jc w:val="center"/>
            </w:pPr>
          </w:p>
        </w:tc>
      </w:tr>
      <w:tr w:rsidR="000520CB" w:rsidRPr="00670E57" w:rsidTr="007B135C">
        <w:trPr>
          <w:trHeight w:val="630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1284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670E57">
              <w:rPr>
                <w:rFonts w:ascii="宋体" w:hAnsi="宋体" w:cs="宋体" w:hint="eastAsia"/>
                <w:color w:val="000000"/>
                <w:kern w:val="0"/>
              </w:rPr>
              <w:t>绿建星级</w:t>
            </w:r>
          </w:p>
        </w:tc>
        <w:tc>
          <w:tcPr>
            <w:tcW w:w="6379" w:type="dxa"/>
            <w:vAlign w:val="center"/>
          </w:tcPr>
          <w:p w:rsidR="000520CB" w:rsidRPr="00670E57" w:rsidRDefault="000520CB" w:rsidP="007B135C">
            <w:pPr>
              <w:spacing w:line="280" w:lineRule="exact"/>
              <w:ind w:firstLineChars="500" w:firstLine="1200"/>
            </w:pPr>
            <w:r>
              <w:rPr>
                <w:rFonts w:ascii="仿宋" w:eastAsia="仿宋" w:hAnsi="仿宋" w:cs="仿宋" w:hint="eastAsia"/>
                <w:sz w:val="24"/>
              </w:rPr>
              <w:t xml:space="preserve">□基本级 </w:t>
            </w:r>
            <w:r>
              <w:rPr>
                <w:rFonts w:ascii="仿宋" w:eastAsia="仿宋" w:hAnsi="仿宋" w:cs="仿宋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□一星级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设计</w:t>
            </w:r>
            <w:r w:rsidRPr="00670E57">
              <w:rPr>
                <w:rFonts w:ascii="宋体" w:hAnsi="宋体" w:cs="宋体" w:hint="eastAsia"/>
                <w:color w:val="000000"/>
                <w:kern w:val="0"/>
              </w:rPr>
              <w:t>节能率</w:t>
            </w:r>
          </w:p>
        </w:tc>
        <w:tc>
          <w:tcPr>
            <w:tcW w:w="6379" w:type="dxa"/>
            <w:gridSpan w:val="2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</w:pPr>
          </w:p>
        </w:tc>
      </w:tr>
      <w:tr w:rsidR="000520CB" w:rsidRPr="00670E57" w:rsidTr="007B135C">
        <w:trPr>
          <w:trHeight w:val="630"/>
        </w:trPr>
        <w:tc>
          <w:tcPr>
            <w:tcW w:w="16160" w:type="dxa"/>
            <w:gridSpan w:val="6"/>
            <w:vAlign w:val="center"/>
          </w:tcPr>
          <w:p w:rsidR="000520CB" w:rsidRPr="00C11250" w:rsidRDefault="000520CB" w:rsidP="007B135C">
            <w:pPr>
              <w:spacing w:line="280" w:lineRule="exact"/>
              <w:jc w:val="center"/>
              <w:rPr>
                <w:b/>
                <w:spacing w:val="30"/>
              </w:rPr>
            </w:pPr>
            <w:r w:rsidRPr="00C11250">
              <w:rPr>
                <w:b/>
                <w:spacing w:val="30"/>
                <w:sz w:val="28"/>
              </w:rPr>
              <w:t>控制项核验</w:t>
            </w:r>
          </w:p>
        </w:tc>
      </w:tr>
      <w:tr w:rsidR="000520CB" w:rsidRPr="00670E57" w:rsidTr="007B135C">
        <w:trPr>
          <w:trHeight w:val="630"/>
        </w:trPr>
        <w:tc>
          <w:tcPr>
            <w:tcW w:w="701" w:type="dxa"/>
            <w:vMerge w:val="restart"/>
            <w:vAlign w:val="center"/>
          </w:tcPr>
          <w:p w:rsidR="000520CB" w:rsidRDefault="000520CB" w:rsidP="007B135C">
            <w:pPr>
              <w:jc w:val="center"/>
            </w:pPr>
            <w:r w:rsidRPr="00670E57">
              <w:rPr>
                <w:rFonts w:hint="eastAsia"/>
              </w:rPr>
              <w:t>核</w:t>
            </w:r>
          </w:p>
          <w:p w:rsidR="000520CB" w:rsidRDefault="000520CB" w:rsidP="007B135C">
            <w:pPr>
              <w:jc w:val="center"/>
            </w:pPr>
            <w:r w:rsidRPr="00670E57">
              <w:rPr>
                <w:rFonts w:hint="eastAsia"/>
              </w:rPr>
              <w:t>验</w:t>
            </w:r>
          </w:p>
          <w:p w:rsidR="000520CB" w:rsidRDefault="000520CB" w:rsidP="007B135C">
            <w:pPr>
              <w:jc w:val="center"/>
            </w:pPr>
            <w:r w:rsidRPr="00670E57">
              <w:rPr>
                <w:rFonts w:hint="eastAsia"/>
              </w:rPr>
              <w:t>内</w:t>
            </w:r>
          </w:p>
          <w:p w:rsidR="000520CB" w:rsidRPr="00670E57" w:rsidRDefault="000520CB" w:rsidP="007B135C">
            <w:pPr>
              <w:jc w:val="center"/>
            </w:pPr>
            <w:r w:rsidRPr="00670E57">
              <w:rPr>
                <w:rFonts w:hint="eastAsia"/>
              </w:rPr>
              <w:t>容</w:t>
            </w:r>
          </w:p>
        </w:tc>
        <w:tc>
          <w:tcPr>
            <w:tcW w:w="7663" w:type="dxa"/>
            <w:gridSpan w:val="2"/>
            <w:vAlign w:val="center"/>
          </w:tcPr>
          <w:p w:rsidR="000520CB" w:rsidRPr="00670E57" w:rsidRDefault="000520CB" w:rsidP="007B135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670E57">
              <w:rPr>
                <w:rFonts w:ascii="宋体" w:hAnsi="宋体" w:cs="宋体" w:hint="eastAsia"/>
                <w:color w:val="000000"/>
                <w:kern w:val="0"/>
              </w:rPr>
              <w:t>核验条款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18"/>
              </w:rPr>
              <w:t>核验方式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670E57">
              <w:rPr>
                <w:rFonts w:ascii="宋体" w:hAnsi="宋体" w:cs="宋体" w:hint="eastAsia"/>
                <w:color w:val="000000"/>
                <w:kern w:val="0"/>
              </w:rPr>
              <w:t>核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验</w:t>
            </w:r>
            <w:r w:rsidRPr="00670E57">
              <w:rPr>
                <w:rFonts w:ascii="宋体" w:hAnsi="宋体" w:cs="宋体" w:hint="eastAsia"/>
                <w:color w:val="000000"/>
                <w:kern w:val="0"/>
              </w:rPr>
              <w:t>结论</w:t>
            </w:r>
          </w:p>
        </w:tc>
        <w:tc>
          <w:tcPr>
            <w:tcW w:w="5245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证明材料</w:t>
            </w:r>
          </w:p>
        </w:tc>
      </w:tr>
      <w:tr w:rsidR="000520CB" w:rsidRPr="00670E57" w:rsidTr="007B135C">
        <w:trPr>
          <w:trHeight w:val="456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3128F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4.1.1场地应避开滑坡、泥石流等地质危险地段，易发生洪涝地区应有可靠的防洪涝基础设施；场地应无危险化学品、易燃易爆危险源的威胁，应无电磁辐射、含氡土壤的危害。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  <w:vAlign w:val="center"/>
          </w:tcPr>
          <w:p w:rsidR="000520CB" w:rsidRPr="00670E57" w:rsidRDefault="000520CB" w:rsidP="007B135C">
            <w:pPr>
              <w:rPr>
                <w:rFonts w:ascii="宋体" w:hAnsi="宋体" w:cs="宋体"/>
                <w:color w:val="000000"/>
                <w:kern w:val="0"/>
              </w:rPr>
            </w:pPr>
            <w:r w:rsidRPr="0033125E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（可能涉及污染源、电磁辐射、土壤氡危害的，应提供相关检测报告或论证报告、场地红线范围、竖向标高、原有地物等）</w:t>
            </w:r>
          </w:p>
        </w:tc>
      </w:tr>
      <w:tr w:rsidR="000520CB" w:rsidRPr="00670E57" w:rsidTr="007B135C">
        <w:trPr>
          <w:trHeight w:val="522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4.1.2建筑结构应满足承载力和建筑使用功能要求。建筑外墙、屋面、门窗、幕墙及外保温等围护结构应满足安全、耐久和防护的要求。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9C7A8C" w:rsidRDefault="000520CB" w:rsidP="007B135C">
            <w:pPr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（相关围护结构详细做法）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4.1.3外遮阳、太阳能设施、空调室外机位、外墙花池等外部设施应与建筑主体结构统一设计、施工，并应具备安装、检修与维护条件。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</w:t>
            </w:r>
            <w:r>
              <w:rPr>
                <w:rFonts w:ascii="宋体" w:hAnsi="宋体"/>
                <w:szCs w:val="21"/>
              </w:rPr>
              <w:t>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9C7A8C" w:rsidRDefault="000520CB" w:rsidP="007B135C">
            <w:pPr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（外部设施的位置、尺寸、构造</w:t>
            </w:r>
            <w:r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节点</w:t>
            </w: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4.1.4建筑内部的非结构件、设备及附属设施等应连接牢固并能适应主体结构变形。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  <w:vAlign w:val="center"/>
          </w:tcPr>
          <w:p w:rsidR="000520CB" w:rsidRPr="009C7A8C" w:rsidRDefault="000520CB" w:rsidP="007B135C">
            <w:pPr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（非结构构件和主体构件的连接情况</w:t>
            </w:r>
            <w:r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节点</w:t>
            </w: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0520CB" w:rsidRPr="00670E57" w:rsidTr="007B135C">
        <w:trPr>
          <w:trHeight w:val="874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4.1.5建筑外门窗必须安装牢固，其抗风压性能和水密性能应符合国家现行有关标准的规定。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9C7A8C" w:rsidRDefault="000520CB" w:rsidP="007B135C">
            <w:pPr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（门窗玻璃原材料的抗风压性能和雨水渗漏性能</w:t>
            </w:r>
            <w:r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说明</w:t>
            </w: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4.1.6卫生间、浴室的地面应设置防水层，墙面、顶棚应设置防潮层。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9C7A8C" w:rsidRDefault="000520CB" w:rsidP="007B135C">
            <w:pPr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（卫生间、浴室的防水层和防潮层设计以及墙面、顶棚的防潮层设计</w:t>
            </w:r>
            <w:r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内容</w:t>
            </w: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4.1.7走廊、疏散通道等通行空间应满足紧急疏散、应急救护等要求，且应保持畅通。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9C7A8C" w:rsidRDefault="000520CB" w:rsidP="007B135C">
            <w:pPr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（无障碍设计及疏散设计的内容）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4.1.8应具有安全防护的警示和引导标识系统。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9C7A8C" w:rsidRDefault="000520CB" w:rsidP="007B135C">
            <w:pPr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（安全警示标志、安全引导指示标志的设置方式和设置具体位置</w:t>
            </w:r>
            <w:r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图片或图纸</w:t>
            </w: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0520CB" w:rsidRPr="00670E57" w:rsidTr="007B135C">
        <w:trPr>
          <w:trHeight w:val="630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5.1.1 室内空气中的氨、甲醛、苯、总挥发性有机物、氡等污染物浓度应符合现行国家标准《室内空气质量标准》 GB/T18883 的有关规定。建筑室内和建筑主出入口处应禁止吸烟，并应在醒目位置设置禁烟标志。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</w:t>
            </w:r>
            <w:r>
              <w:rPr>
                <w:rFonts w:ascii="宋体" w:hAnsi="宋体"/>
                <w:szCs w:val="21"/>
              </w:rPr>
              <w:t>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9C7A8C" w:rsidRDefault="000520CB" w:rsidP="007B135C">
            <w:pPr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（全装修建筑项目应体现室内甲醛、苯、总挥发性有机物3类进行浓度预评估，非全装修建筑项目体现使用的各类装饰装修材料的使用部位、用量等信息）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5.1.2应采取措施避免厨房、餐厅、打印复印室、卫生间、地下车库等区域的空气和污染物串通到其他空间；应防止厨房、卫生间的排气倒灌。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9C7A8C" w:rsidRDefault="000520CB" w:rsidP="007B135C">
            <w:pPr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（污染源空间和其他空间之间的合理隔断，明确污染源设置在建筑单元自然通风负压侧；设置机械排风时，应明确其风口和排风口的位置）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5.1.3给水排水系统的设置应符合下列规定：1 生活饮用水水质应满足现行国家标准《生活饮用水卫生标准》 GB 5749 的要求；2 应制定水池、水箱等储水设施定期清洗消毒计划并实施，且生活饮用水储水设施每半年清洗消毒不应少于 1 次；3 应使用构造内自带水封的便器，且其水封深度不应小于 50mm;4 非传统水源管道和设备应设置明确、清晰的永久性标识。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9C7A8C" w:rsidRDefault="000520CB" w:rsidP="007B135C">
            <w:pPr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（生活饮用水水质的要求、对卫生器具和地漏水封要求的说明）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5.1.4主要功能房间的室内噪声级和隔声性能应符合下列规定：1 室内噪声级应满足现行国家标准《民用建筑隔声设计规范》 GB 50118 中的低限要求；2 外墙、隔墙、楼板和门窗的隔声性能应满足现行国家标准《民用建筑隔声设计规范》 GB 50118 中的低限要求。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9C7A8C" w:rsidRDefault="000520CB" w:rsidP="007B135C">
            <w:pPr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（室内背景噪声及构件隔声计算分析报告）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5.1.5</w:t>
            </w:r>
            <w:r w:rsidRPr="00644050">
              <w:rPr>
                <w:rFonts w:asciiTheme="majorEastAsia" w:eastAsiaTheme="majorEastAsia" w:hAnsiTheme="majorEastAsia" w:hint="eastAsia"/>
                <w:szCs w:val="21"/>
              </w:rPr>
              <w:t>建筑照明应符合下列规定：1 照明数量和质量应符合现行国家标准《建筑照明设计标准》 GB 50034 的规定；2 人员长期停留的场所应采用符合现行国家标准《灯和灯系统的光生物安全性》 GB/T 20145 规定的无危险类照明产品；3 选用 LED 照明产品的光输出波形的波动深度应满足现行国家标准《 LED 室内照明应用技术要求》 GB/T 31831 的规定。</w:t>
            </w:r>
          </w:p>
        </w:tc>
        <w:tc>
          <w:tcPr>
            <w:tcW w:w="1417" w:type="dxa"/>
            <w:vAlign w:val="center"/>
          </w:tcPr>
          <w:p w:rsidR="000520CB" w:rsidRPr="00644050" w:rsidRDefault="000520CB" w:rsidP="007B135C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spacing w:line="288" w:lineRule="auto"/>
              <w:rPr>
                <w:rFonts w:ascii="宋体" w:hAnsi="宋体"/>
                <w:b/>
                <w:bCs/>
                <w:szCs w:val="21"/>
                <w:lang w:val="zh-CN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9C7A8C" w:rsidRDefault="000520CB" w:rsidP="007B135C">
            <w:pPr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（照明设计文件，照明计算书，设计照度和照明功率密度进行计算）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</w:rPr>
              <w:t>5.1.6应采取措施保障室内热环境。采用集中供暖空调系统的建筑，房间内的温度、湿度、新风量等设计参数应符合现行国家标准《民用建筑供暖通风与空气调节设计规范》 GB 50736 的有关规定；采用非集中供暖空调系统的建筑，应具有保障室内热环境的措施或预留条件。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9C7A8C" w:rsidRDefault="000520CB" w:rsidP="007B135C">
            <w:pPr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（非集中供暖空调系统的建筑，简要说明保障室内热环境的措施或预留条件，集中供暖空调系统的室内设计参数进行说明，包括房间内的温度、湿度、新风量等以及参照的设计标准）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</w:rPr>
              <w:t>5.1.7围护结构热工性能应符合下列规定：1 在室内设计温度、湿度条件下，建筑</w:t>
            </w:r>
            <w:r w:rsidRPr="003128FA">
              <w:rPr>
                <w:rFonts w:asciiTheme="majorEastAsia" w:eastAsiaTheme="majorEastAsia" w:hAnsiTheme="majorEastAsia" w:hint="eastAsia"/>
              </w:rPr>
              <w:lastRenderedPageBreak/>
              <w:t>非透光围护结构内表面不得结露；2 供暖建筑的屋面、外墙内部不应产生冷凝；3 屋顶和外墙隔热性能应满足现行国家标准《民用建筑热工设计规范》 GB 50176 的要求。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lastRenderedPageBreak/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lastRenderedPageBreak/>
              <w:t>（围护结构各构件的内表面温度及露点温度计算书）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5.1.8主要功能房间应具有现场独立控制的热环境调节装置。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（所采用的供暖、空调系统末端形式和调节方式）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5.1.9地下车库应设置与排风设备联动的一氧化碳浓度监测装置。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（地下车库一氧化碳浓度点位布置图、配电系统图）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6.1.1 建筑、室外场地、公共绿地、城市道路相互之间应设置连贯的无障碍步行系统。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（无障碍系统现场图片）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/>
              </w:rPr>
              <w:t>6.1.</w:t>
            </w:r>
            <w:r w:rsidRPr="003128FA">
              <w:rPr>
                <w:rFonts w:asciiTheme="majorEastAsia" w:eastAsiaTheme="majorEastAsia" w:hAnsiTheme="majorEastAsia" w:hint="eastAsia"/>
              </w:rPr>
              <w:t>2场地人行出入口 500m 内应设有公共交通站点或配备联系公共交通站点的专用接驳车。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（项目场地出入口与公交站点距离示意）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/>
              </w:rPr>
              <w:t>6.1.</w:t>
            </w:r>
            <w:r w:rsidRPr="003128FA">
              <w:rPr>
                <w:rFonts w:asciiTheme="majorEastAsia" w:eastAsiaTheme="majorEastAsia" w:hAnsiTheme="majorEastAsia" w:hint="eastAsia"/>
              </w:rPr>
              <w:t>3停车场应具有电动汽车充电设施或具备充电设施的安装条件，并应合理设置电动汽车和无障碍汽车停车位。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（项目电动汽车充电桩现场图片）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/>
              </w:rPr>
              <w:t>6.1.</w:t>
            </w:r>
            <w:r w:rsidRPr="003128FA">
              <w:rPr>
                <w:rFonts w:asciiTheme="majorEastAsia" w:eastAsiaTheme="majorEastAsia" w:hAnsiTheme="majorEastAsia" w:hint="eastAsia"/>
              </w:rPr>
              <w:t>4自行车停车场所应位置合理、方便出入。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（项目非机动车停车位图片）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/>
              </w:rPr>
              <w:t>6.1.</w:t>
            </w:r>
            <w:r w:rsidRPr="003128FA">
              <w:rPr>
                <w:rFonts w:asciiTheme="majorEastAsia" w:eastAsiaTheme="majorEastAsia" w:hAnsiTheme="majorEastAsia" w:hint="eastAsia"/>
              </w:rPr>
              <w:t>5建筑设备管理系统应具有自动监控管理功能。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（冷热源、供暖通风和空气调节、给水排水、供配电、照明、电梯等的自控系统设计）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128FA">
              <w:rPr>
                <w:rFonts w:asciiTheme="majorEastAsia" w:eastAsiaTheme="majorEastAsia" w:hAnsiTheme="majorEastAsia"/>
              </w:rPr>
              <w:t>6.1.</w:t>
            </w:r>
            <w:r w:rsidRPr="003128FA">
              <w:rPr>
                <w:rFonts w:asciiTheme="majorEastAsia" w:eastAsiaTheme="majorEastAsia" w:hAnsiTheme="majorEastAsia" w:hint="eastAsia"/>
              </w:rPr>
              <w:t>6建筑应设置信息网络系统。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（自动化信息系统相关设计内容）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128FA">
              <w:rPr>
                <w:rFonts w:asciiTheme="majorEastAsia" w:eastAsiaTheme="majorEastAsia" w:hAnsiTheme="majorEastAsia" w:hint="eastAsia"/>
              </w:rPr>
              <w:t>7.1.1应结合场地自然条件和建筑功能需求，对建筑的体形、平面布局、空间尺度、围护结构等进行节能设计，且应符合国家有关节能设计的要求。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（节能计算书）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128FA">
              <w:rPr>
                <w:rFonts w:asciiTheme="majorEastAsia" w:eastAsiaTheme="majorEastAsia" w:hAnsiTheme="majorEastAsia" w:hint="eastAsia"/>
              </w:rPr>
              <w:t>7.1.2 应采取措施降低部分负荷、部分空间使用下的供暖、空调系统能耗，并应符合下列规定：1 应区分房间的朝向细分供暖、空调区域，并应对系统进行分区控制；2 空调冷源的部分负荷性能系数 (IPLV)、电冷源综合制冷性能系数 (SCOP) 应符合现行国家标准《公共建筑节能设计标准》 GB 50189 的规定。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（空调采暖系统冷热源的设备类型、型号和容量、额定工况性能参数和能效等级）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128FA">
              <w:rPr>
                <w:rFonts w:asciiTheme="majorEastAsia" w:eastAsiaTheme="majorEastAsia" w:hAnsiTheme="majorEastAsia" w:hint="eastAsia"/>
              </w:rPr>
              <w:t>7.1.3应根据建筑空间功能设置分区温度，合理降低室内过渡区空间的温度设定标准。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（集中供暖空调系统的室内设计参数，包括房间内的温度、湿度、新风量等以及参照的设计）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128FA">
              <w:rPr>
                <w:rFonts w:asciiTheme="majorEastAsia" w:eastAsiaTheme="majorEastAsia" w:hAnsiTheme="majorEastAsia" w:hint="eastAsia"/>
              </w:rPr>
              <w:t>7.1.4主要功能房间的照明功率密度值不应高于现行国家标准《建筑照明设计标准》 GB 50034 规定的现行值；公共区域的照明系统应采用分区、定时、感应等节能控制；采光区域的照明控制应独立于其他区域的照明控制。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（照明设计要求、照明设计标准、照明控制措施等）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128FA">
              <w:rPr>
                <w:rFonts w:asciiTheme="majorEastAsia" w:eastAsiaTheme="majorEastAsia" w:hAnsiTheme="majorEastAsia" w:hint="eastAsia"/>
              </w:rPr>
              <w:t>7.1.5冷热源、输配系统和照明等各部分能耗应进行独立分项计量。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（不同系统或设备能耗计量表具设置情况，明确电表型号及统计表）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128FA">
              <w:rPr>
                <w:rFonts w:asciiTheme="majorEastAsia" w:eastAsiaTheme="majorEastAsia" w:hAnsiTheme="majorEastAsia" w:hint="eastAsia"/>
              </w:rPr>
              <w:t>7.1.6垂直电梯应采取群控、变频调速或能量反馈等节能措施；自动扶梯应采用变频感应启动等节能控制措施。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（所选用电梯的性能、型号参数和节能控制措施）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7.1.7应制定水资源利用方案，统筹利用各种水资源，并应符合下列规定：</w:t>
            </w:r>
          </w:p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1 应按使用用途、付费或管理单元，分别设置用水计量装置；</w:t>
            </w:r>
          </w:p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2 用水点处水压大于 0. 2MPa的配水支管应设置减压设施，并应满足给水配件最低工作压力的要求；</w:t>
            </w:r>
          </w:p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3 用水器具和设备应满足节水产品的要求。</w:t>
            </w:r>
          </w:p>
        </w:tc>
        <w:tc>
          <w:tcPr>
            <w:tcW w:w="1417" w:type="dxa"/>
            <w:vAlign w:val="center"/>
          </w:tcPr>
          <w:p w:rsidR="000520CB" w:rsidRPr="0071200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（应包括当地节水要求及水资源状况、市政设施情况、项目概况、用水定额的确定、用水量估算及水量平衡、给排水系统设计方案、节水器具、非传统水源利用）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7.1.8不应采用建筑形体和布置严重不规则的建筑结构。</w:t>
            </w:r>
          </w:p>
        </w:tc>
        <w:tc>
          <w:tcPr>
            <w:tcW w:w="1417" w:type="dxa"/>
            <w:vAlign w:val="center"/>
          </w:tcPr>
          <w:p w:rsidR="000520CB" w:rsidRPr="0071200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（建筑形体规则性分析）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6448145" wp14:editId="6D20183E">
                  <wp:simplePos x="0" y="0"/>
                  <wp:positionH relativeFrom="column">
                    <wp:posOffset>-450215</wp:posOffset>
                  </wp:positionH>
                  <wp:positionV relativeFrom="paragraph">
                    <wp:posOffset>440690</wp:posOffset>
                  </wp:positionV>
                  <wp:extent cx="304165" cy="437515"/>
                  <wp:effectExtent l="0" t="0" r="635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28FA">
              <w:rPr>
                <w:rFonts w:asciiTheme="majorEastAsia" w:eastAsiaTheme="majorEastAsia" w:hAnsiTheme="majorEastAsia" w:hint="eastAsia"/>
                <w:szCs w:val="21"/>
              </w:rPr>
              <w:t>7.1.9建筑造型要素应简约，应无大量装饰性构件，并应符合下列规定：1 住宅建筑的装饰性构件造价占建筑总造价的比例不应大于 2%；2 公共建筑的装饰性构件造价占建筑总造价的比例不应大于 1%。</w:t>
            </w:r>
          </w:p>
        </w:tc>
        <w:tc>
          <w:tcPr>
            <w:tcW w:w="1417" w:type="dxa"/>
            <w:vAlign w:val="center"/>
          </w:tcPr>
          <w:p w:rsidR="000520CB" w:rsidRPr="0071200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（女儿墙的高度及立面装饰性构件的位置）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7.1.10选用的建筑材料应符合下列规定：1 500km 以内生产的建筑材料重量占建筑材料总重量的比例应大于 60%；2 现浇混凝土应采用预拌混凝土，建筑砂浆应采用预拌砂浆。</w:t>
            </w:r>
          </w:p>
        </w:tc>
        <w:tc>
          <w:tcPr>
            <w:tcW w:w="1417" w:type="dxa"/>
            <w:vAlign w:val="center"/>
          </w:tcPr>
          <w:p w:rsidR="000520CB" w:rsidRPr="0071200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widowControl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（应体现项目实际使用各类建材信息）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8.1.1建筑规划布局应满足日照标准，且不得降低周边建筑的日照标准。</w:t>
            </w:r>
          </w:p>
        </w:tc>
        <w:tc>
          <w:tcPr>
            <w:tcW w:w="1417" w:type="dxa"/>
            <w:vAlign w:val="center"/>
          </w:tcPr>
          <w:p w:rsidR="000520CB" w:rsidRPr="0071200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spacing w:line="288" w:lineRule="auto"/>
              <w:rPr>
                <w:rFonts w:ascii="宋体" w:hAnsi="宋体"/>
                <w:b/>
                <w:bCs/>
                <w:szCs w:val="21"/>
                <w:lang w:val="zh-CN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</w:t>
            </w:r>
            <w:r w:rsidRPr="00B0055C"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  <w:t>日照分析报告</w:t>
            </w: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8.1.2室外热环境应满足国家现行有关标准的要求。</w:t>
            </w:r>
          </w:p>
        </w:tc>
        <w:tc>
          <w:tcPr>
            <w:tcW w:w="1417" w:type="dxa"/>
            <w:vAlign w:val="center"/>
          </w:tcPr>
          <w:p w:rsidR="000520CB" w:rsidRPr="0071200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现场核验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spacing w:line="288" w:lineRule="auto"/>
              <w:rPr>
                <w:rFonts w:ascii="宋体" w:hAnsi="宋体"/>
                <w:b/>
                <w:bCs/>
                <w:szCs w:val="21"/>
                <w:lang w:val="zh-CN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（室外景观种植设计及现场图片）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8.1.3配建的绿地应符合所在地城乡规划的要求，应合理选择绿化方式，植物种植应适应当地气候和土壤，且应无毒、易维护，种植区域覆土深度和排水能力应满足植物生长需求，并应采用复层绿化方式。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spacing w:line="288" w:lineRule="auto"/>
              <w:rPr>
                <w:rFonts w:ascii="宋体" w:hAnsi="宋体"/>
                <w:b/>
                <w:bCs/>
                <w:szCs w:val="21"/>
                <w:lang w:val="zh-CN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（室外景观种植设计及现场图片）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8.1.4场地的竖向设计应有利于雨水的收集或排放，应有效组织雨水的下渗、滞蓄或再利用；对大于 10hm2 的场地应进行雨水控制利用专项设计。</w:t>
            </w:r>
          </w:p>
        </w:tc>
        <w:tc>
          <w:tcPr>
            <w:tcW w:w="1417" w:type="dxa"/>
            <w:vAlign w:val="center"/>
          </w:tcPr>
          <w:p w:rsidR="000520CB" w:rsidRPr="0071200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spacing w:line="288" w:lineRule="auto"/>
              <w:rPr>
                <w:rFonts w:ascii="宋体" w:hAnsi="宋体"/>
                <w:b/>
                <w:bCs/>
                <w:szCs w:val="21"/>
                <w:lang w:val="zh-CN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（海绵城市设计及现场图片）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8.1.5建筑内外均应设置便于识别和使用的标识系统。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spacing w:line="288" w:lineRule="auto"/>
              <w:rPr>
                <w:rFonts w:ascii="宋体" w:hAnsi="宋体"/>
                <w:b/>
                <w:bCs/>
                <w:szCs w:val="21"/>
                <w:lang w:val="zh-CN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（安全警示标志、安全引导指示标志的设置方式和设置具体位置</w:t>
            </w:r>
            <w:r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图片或图纸</w:t>
            </w:r>
            <w:r w:rsidRPr="009C7A8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0520CB" w:rsidRPr="00670E57" w:rsidTr="007B135C">
        <w:trPr>
          <w:trHeight w:val="397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8.1.6场地内不应有排放超标的污染源。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资料核验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spacing w:line="288" w:lineRule="auto"/>
              <w:rPr>
                <w:rFonts w:ascii="宋体" w:hAnsi="宋体"/>
                <w:b/>
                <w:bCs/>
                <w:szCs w:val="21"/>
                <w:lang w:val="zh-CN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（应体现相关污染源所在位置及其控制措施）</w:t>
            </w:r>
          </w:p>
        </w:tc>
      </w:tr>
      <w:tr w:rsidR="000520CB" w:rsidRPr="00670E57" w:rsidTr="007B135C">
        <w:trPr>
          <w:trHeight w:val="844"/>
        </w:trPr>
        <w:tc>
          <w:tcPr>
            <w:tcW w:w="701" w:type="dxa"/>
            <w:vMerge/>
          </w:tcPr>
          <w:p w:rsidR="000520CB" w:rsidRPr="00670E57" w:rsidRDefault="000520CB" w:rsidP="007B135C"/>
        </w:tc>
        <w:tc>
          <w:tcPr>
            <w:tcW w:w="7663" w:type="dxa"/>
            <w:gridSpan w:val="2"/>
            <w:vAlign w:val="center"/>
          </w:tcPr>
          <w:p w:rsidR="000520CB" w:rsidRPr="003128FA" w:rsidRDefault="000520CB" w:rsidP="007B135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128FA">
              <w:rPr>
                <w:rFonts w:asciiTheme="majorEastAsia" w:eastAsiaTheme="majorEastAsia" w:hAnsiTheme="majorEastAsia" w:hint="eastAsia"/>
                <w:szCs w:val="21"/>
              </w:rPr>
              <w:t>8.1.7生活垃圾应分类收集，垃圾容器和收集点的设置应合理并应与周围景观协调。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现场核验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spacing w:line="288" w:lineRule="auto"/>
              <w:rPr>
                <w:rFonts w:ascii="宋体" w:hAnsi="宋体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达标</w:t>
            </w:r>
          </w:p>
          <w:p w:rsidR="000520CB" w:rsidRPr="00670E57" w:rsidRDefault="000520CB" w:rsidP="007B135C">
            <w:pPr>
              <w:spacing w:line="288" w:lineRule="auto"/>
              <w:rPr>
                <w:rFonts w:ascii="宋体" w:hAnsi="宋体"/>
                <w:b/>
                <w:bCs/>
                <w:szCs w:val="21"/>
                <w:lang w:val="zh-CN"/>
              </w:rPr>
            </w:pPr>
            <w:r w:rsidRPr="00670E57">
              <w:rPr>
                <w:rFonts w:ascii="宋体" w:hAnsi="宋体" w:hint="eastAsia"/>
                <w:b/>
                <w:bCs/>
                <w:szCs w:val="21"/>
                <w:lang w:val="zh-CN"/>
              </w:rPr>
              <w:t>□</w:t>
            </w:r>
            <w:r w:rsidRPr="00670E57">
              <w:rPr>
                <w:rFonts w:ascii="宋体" w:hAnsi="宋体" w:hint="eastAsia"/>
              </w:rPr>
              <w:t>不达标</w:t>
            </w:r>
          </w:p>
        </w:tc>
        <w:tc>
          <w:tcPr>
            <w:tcW w:w="5245" w:type="dxa"/>
          </w:tcPr>
          <w:p w:rsidR="000520CB" w:rsidRPr="00B0055C" w:rsidRDefault="000520CB" w:rsidP="007B135C">
            <w:pPr>
              <w:widowControl/>
              <w:snapToGrid w:val="0"/>
              <w:spacing w:line="280" w:lineRule="exact"/>
              <w:rPr>
                <w:rFonts w:ascii="仿宋_GB2312" w:eastAsia="仿宋_GB2312" w:hAnsi="宋体" w:cs="仿宋_GB2312"/>
                <w:bCs/>
                <w:color w:val="808080" w:themeColor="background1" w:themeShade="80"/>
                <w:sz w:val="20"/>
                <w:szCs w:val="20"/>
              </w:rPr>
            </w:pPr>
            <w:r w:rsidRPr="00B0055C">
              <w:rPr>
                <w:rFonts w:ascii="仿宋_GB2312" w:eastAsia="仿宋_GB2312" w:hAnsi="宋体" w:cs="仿宋_GB2312" w:hint="eastAsia"/>
                <w:bCs/>
                <w:color w:val="808080" w:themeColor="background1" w:themeShade="80"/>
                <w:sz w:val="20"/>
                <w:szCs w:val="20"/>
              </w:rPr>
              <w:t>（垃圾分类处理实施方案及现场图片）</w:t>
            </w:r>
          </w:p>
        </w:tc>
      </w:tr>
      <w:tr w:rsidR="000520CB" w:rsidRPr="00670E57" w:rsidTr="007B135C">
        <w:trPr>
          <w:trHeight w:val="844"/>
        </w:trPr>
        <w:tc>
          <w:tcPr>
            <w:tcW w:w="16160" w:type="dxa"/>
            <w:gridSpan w:val="6"/>
            <w:vAlign w:val="center"/>
          </w:tcPr>
          <w:p w:rsidR="000520CB" w:rsidRDefault="000520CB" w:rsidP="007B135C">
            <w:pPr>
              <w:widowControl/>
              <w:snapToGrid w:val="0"/>
              <w:spacing w:line="280" w:lineRule="exact"/>
              <w:jc w:val="center"/>
              <w:rPr>
                <w:b/>
                <w:spacing w:val="30"/>
                <w:sz w:val="28"/>
              </w:rPr>
            </w:pPr>
            <w:r>
              <w:rPr>
                <w:rFonts w:hint="eastAsia"/>
                <w:b/>
                <w:spacing w:val="30"/>
                <w:sz w:val="28"/>
              </w:rPr>
              <w:t>得分项</w:t>
            </w:r>
            <w:r w:rsidRPr="00C11250">
              <w:rPr>
                <w:b/>
                <w:spacing w:val="30"/>
                <w:sz w:val="28"/>
              </w:rPr>
              <w:t>核验</w:t>
            </w:r>
          </w:p>
          <w:p w:rsidR="000520CB" w:rsidRPr="00670E57" w:rsidRDefault="000520CB" w:rsidP="007B135C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hint="eastAsia"/>
                <w:b/>
                <w:spacing w:val="30"/>
                <w:sz w:val="28"/>
              </w:rPr>
              <w:t>（根据项目设计方案审查表中得分情况进行填写）</w:t>
            </w:r>
          </w:p>
        </w:tc>
      </w:tr>
      <w:tr w:rsidR="000520CB" w:rsidRPr="00670E57" w:rsidTr="007B135C">
        <w:trPr>
          <w:trHeight w:val="679"/>
        </w:trPr>
        <w:tc>
          <w:tcPr>
            <w:tcW w:w="701" w:type="dxa"/>
            <w:vMerge w:val="restart"/>
            <w:vAlign w:val="center"/>
          </w:tcPr>
          <w:p w:rsidR="000520CB" w:rsidRPr="00670E57" w:rsidRDefault="000520CB" w:rsidP="007B135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34EFD1C" wp14:editId="0850D4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-144145</wp:posOffset>
                  </wp:positionV>
                  <wp:extent cx="304165" cy="437515"/>
                  <wp:effectExtent l="0" t="0" r="635" b="63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63" w:type="dxa"/>
            <w:gridSpan w:val="2"/>
            <w:vAlign w:val="center"/>
          </w:tcPr>
          <w:p w:rsidR="000520CB" w:rsidRPr="00670E57" w:rsidRDefault="000520CB" w:rsidP="007B135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670E57">
              <w:rPr>
                <w:rFonts w:ascii="宋体" w:hAnsi="宋体" w:cs="宋体" w:hint="eastAsia"/>
                <w:color w:val="000000"/>
                <w:kern w:val="0"/>
              </w:rPr>
              <w:t>核验条款</w:t>
            </w:r>
          </w:p>
        </w:tc>
        <w:tc>
          <w:tcPr>
            <w:tcW w:w="1417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Cs w:val="18"/>
              </w:rPr>
              <w:t>核验方式</w:t>
            </w:r>
          </w:p>
        </w:tc>
        <w:tc>
          <w:tcPr>
            <w:tcW w:w="1134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670E57">
              <w:rPr>
                <w:rFonts w:ascii="宋体" w:hAnsi="宋体" w:cs="宋体" w:hint="eastAsia"/>
                <w:color w:val="000000"/>
                <w:kern w:val="0"/>
              </w:rPr>
              <w:t>核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验</w:t>
            </w:r>
            <w:r w:rsidRPr="00670E57">
              <w:rPr>
                <w:rFonts w:ascii="宋体" w:hAnsi="宋体" w:cs="宋体" w:hint="eastAsia"/>
                <w:color w:val="000000"/>
                <w:kern w:val="0"/>
              </w:rPr>
              <w:t>结论</w:t>
            </w:r>
            <w:r>
              <w:rPr>
                <w:rFonts w:ascii="宋体" w:hAns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（分数）</w:t>
            </w:r>
          </w:p>
        </w:tc>
        <w:tc>
          <w:tcPr>
            <w:tcW w:w="5245" w:type="dxa"/>
            <w:vAlign w:val="center"/>
          </w:tcPr>
          <w:p w:rsidR="000520CB" w:rsidRPr="00670E57" w:rsidRDefault="000520CB" w:rsidP="007B135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证明材料</w:t>
            </w:r>
          </w:p>
        </w:tc>
      </w:tr>
      <w:tr w:rsidR="000520CB" w:rsidRPr="00670E57" w:rsidTr="007B135C">
        <w:trPr>
          <w:trHeight w:val="1125"/>
        </w:trPr>
        <w:tc>
          <w:tcPr>
            <w:tcW w:w="701" w:type="dxa"/>
            <w:vMerge/>
            <w:vAlign w:val="center"/>
          </w:tcPr>
          <w:p w:rsidR="000520CB" w:rsidRDefault="000520CB" w:rsidP="007B135C">
            <w:pPr>
              <w:jc w:val="center"/>
            </w:pPr>
          </w:p>
        </w:tc>
        <w:tc>
          <w:tcPr>
            <w:tcW w:w="7663" w:type="dxa"/>
            <w:gridSpan w:val="2"/>
          </w:tcPr>
          <w:p w:rsidR="000520CB" w:rsidRPr="00670E57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0520CB" w:rsidRPr="00670E57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</w:tcPr>
          <w:p w:rsidR="000520CB" w:rsidRPr="00670E57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245" w:type="dxa"/>
          </w:tcPr>
          <w:p w:rsidR="000520CB" w:rsidRPr="00670E57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520CB" w:rsidRPr="00670E57" w:rsidTr="007B135C">
        <w:trPr>
          <w:trHeight w:val="1125"/>
        </w:trPr>
        <w:tc>
          <w:tcPr>
            <w:tcW w:w="701" w:type="dxa"/>
            <w:vMerge/>
            <w:vAlign w:val="center"/>
          </w:tcPr>
          <w:p w:rsidR="000520CB" w:rsidRDefault="000520CB" w:rsidP="007B135C">
            <w:pPr>
              <w:jc w:val="center"/>
            </w:pPr>
          </w:p>
        </w:tc>
        <w:tc>
          <w:tcPr>
            <w:tcW w:w="7663" w:type="dxa"/>
            <w:gridSpan w:val="2"/>
          </w:tcPr>
          <w:p w:rsidR="000520CB" w:rsidRPr="00670E57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0520CB" w:rsidRPr="00670E57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</w:tcPr>
          <w:p w:rsidR="000520CB" w:rsidRPr="00670E57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245" w:type="dxa"/>
          </w:tcPr>
          <w:p w:rsidR="000520CB" w:rsidRPr="00670E57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520CB" w:rsidRPr="00670E57" w:rsidTr="007B135C">
        <w:trPr>
          <w:trHeight w:val="1125"/>
        </w:trPr>
        <w:tc>
          <w:tcPr>
            <w:tcW w:w="701" w:type="dxa"/>
            <w:vMerge/>
            <w:vAlign w:val="center"/>
          </w:tcPr>
          <w:p w:rsidR="000520CB" w:rsidRDefault="000520CB" w:rsidP="007B135C">
            <w:pPr>
              <w:jc w:val="center"/>
            </w:pPr>
          </w:p>
        </w:tc>
        <w:tc>
          <w:tcPr>
            <w:tcW w:w="7663" w:type="dxa"/>
            <w:gridSpan w:val="2"/>
          </w:tcPr>
          <w:p w:rsidR="000520CB" w:rsidRPr="00670E57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0520CB" w:rsidRPr="00670E57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</w:tcPr>
          <w:p w:rsidR="000520CB" w:rsidRPr="00670E57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245" w:type="dxa"/>
          </w:tcPr>
          <w:p w:rsidR="000520CB" w:rsidRPr="00670E57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520CB" w:rsidRPr="00670E57" w:rsidTr="000520CB">
        <w:trPr>
          <w:trHeight w:val="1048"/>
        </w:trPr>
        <w:tc>
          <w:tcPr>
            <w:tcW w:w="701" w:type="dxa"/>
            <w:vAlign w:val="center"/>
          </w:tcPr>
          <w:p w:rsidR="000520CB" w:rsidRPr="00670E57" w:rsidRDefault="000520CB" w:rsidP="007B135C">
            <w:pPr>
              <w:jc w:val="center"/>
            </w:pPr>
            <w:r>
              <w:rPr>
                <w:rFonts w:hint="eastAsia"/>
              </w:rPr>
              <w:t>核验</w:t>
            </w:r>
          </w:p>
          <w:p w:rsidR="000520CB" w:rsidRPr="00670E57" w:rsidRDefault="000520CB" w:rsidP="007B135C">
            <w:pPr>
              <w:jc w:val="center"/>
            </w:pPr>
            <w:r>
              <w:rPr>
                <w:rFonts w:hint="eastAsia"/>
              </w:rPr>
              <w:t>结论</w:t>
            </w:r>
          </w:p>
        </w:tc>
        <w:tc>
          <w:tcPr>
            <w:tcW w:w="15459" w:type="dxa"/>
            <w:gridSpan w:val="5"/>
          </w:tcPr>
          <w:p w:rsidR="000520CB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0520CB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0520CB" w:rsidRDefault="000520CB" w:rsidP="007B135C"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</w:rPr>
            </w:pPr>
          </w:p>
          <w:p w:rsidR="000520CB" w:rsidRDefault="000520CB" w:rsidP="007B135C">
            <w:pPr>
              <w:widowControl/>
              <w:snapToGrid w:val="0"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（盖章）</w:t>
            </w:r>
          </w:p>
          <w:p w:rsidR="000520CB" w:rsidRDefault="000520CB" w:rsidP="007B135C">
            <w:pPr>
              <w:widowControl/>
              <w:wordWrap w:val="0"/>
              <w:snapToGrid w:val="0"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日期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：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</w:t>
            </w:r>
          </w:p>
        </w:tc>
      </w:tr>
    </w:tbl>
    <w:p w:rsidR="000520CB" w:rsidRPr="000520CB" w:rsidRDefault="000520CB" w:rsidP="000520CB">
      <w:pPr>
        <w:widowControl/>
        <w:jc w:val="left"/>
        <w:rPr>
          <w:rFonts w:asciiTheme="minorEastAsia" w:hAnsiTheme="minorEastAsia" w:hint="eastAsia"/>
          <w:sz w:val="24"/>
          <w:szCs w:val="24"/>
        </w:rPr>
        <w:sectPr w:rsidR="000520CB" w:rsidRPr="000520CB" w:rsidSect="000520CB">
          <w:pgSz w:w="16838" w:h="11906" w:orient="landscape" w:code="9"/>
          <w:pgMar w:top="1134" w:right="1440" w:bottom="993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361A39" w:rsidRDefault="00361A39" w:rsidP="000520CB">
      <w:pPr>
        <w:rPr>
          <w:rFonts w:hint="eastAsia"/>
        </w:rPr>
      </w:pPr>
    </w:p>
    <w:sectPr w:rsidR="0036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CB"/>
    <w:rsid w:val="000520CB"/>
    <w:rsid w:val="003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B055E-AA60-4412-9D77-EEED50AD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8E63-1D2B-4A41-84E5-97ADC859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admin6</cp:lastModifiedBy>
  <cp:revision>1</cp:revision>
  <dcterms:created xsi:type="dcterms:W3CDTF">2021-12-21T07:32:00Z</dcterms:created>
  <dcterms:modified xsi:type="dcterms:W3CDTF">2021-12-21T07:33:00Z</dcterms:modified>
</cp:coreProperties>
</file>